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AF0" w:rsidRPr="00D32AF0" w:rsidRDefault="00D32AF0" w:rsidP="00D32AF0">
      <w:pPr>
        <w:shd w:val="clear" w:color="auto" w:fill="FFFFFF"/>
        <w:spacing w:after="0" w:line="240" w:lineRule="auto"/>
        <w:jc w:val="center"/>
        <w:rPr>
          <w:rFonts w:ascii="Arial Narrow" w:eastAsia="Times New Roman" w:hAnsi="Arial Narrow" w:cs="Arial"/>
          <w:color w:val="76838F"/>
          <w:sz w:val="24"/>
          <w:szCs w:val="24"/>
          <w:lang w:val="es-ES" w:eastAsia="es-EC"/>
        </w:rPr>
      </w:pPr>
      <w:r w:rsidRPr="00D32AF0">
        <w:rPr>
          <w:rFonts w:ascii="Arial Narrow" w:eastAsia="Times New Roman" w:hAnsi="Arial Narrow" w:cs="Arial"/>
          <w:color w:val="76838F"/>
          <w:sz w:val="24"/>
          <w:szCs w:val="24"/>
          <w:lang w:val="es-ES" w:eastAsia="es-EC"/>
        </w:rPr>
        <w:t>Servicio de Rentas Internas</w:t>
      </w:r>
    </w:p>
    <w:p w:rsidR="00D32AF0" w:rsidRPr="00D32AF0" w:rsidRDefault="00D32AF0" w:rsidP="00D32AF0">
      <w:pPr>
        <w:shd w:val="clear" w:color="auto" w:fill="FFFFFF"/>
        <w:spacing w:after="0" w:line="240" w:lineRule="auto"/>
        <w:jc w:val="both"/>
        <w:rPr>
          <w:rFonts w:ascii="Arial Narrow" w:eastAsia="Times New Roman" w:hAnsi="Arial Narrow" w:cs="Arial"/>
          <w:color w:val="76838F"/>
          <w:sz w:val="24"/>
          <w:szCs w:val="24"/>
          <w:lang w:val="es-ES" w:eastAsia="es-EC"/>
        </w:rPr>
      </w:pPr>
      <w:r w:rsidRPr="00D32AF0">
        <w:rPr>
          <w:rFonts w:ascii="Arial Narrow" w:eastAsia="Times New Roman" w:hAnsi="Arial Narrow" w:cs="Arial"/>
          <w:color w:val="76838F"/>
          <w:sz w:val="24"/>
          <w:szCs w:val="24"/>
          <w:lang w:val="es-ES" w:eastAsia="es-EC"/>
        </w:rPr>
        <w:br/>
      </w:r>
      <w:bookmarkStart w:id="0" w:name="_GoBack"/>
      <w:r w:rsidRPr="00D32AF0">
        <w:rPr>
          <w:rFonts w:ascii="Arial Narrow" w:eastAsia="Times New Roman" w:hAnsi="Arial Narrow" w:cs="Arial"/>
          <w:color w:val="76838F"/>
          <w:sz w:val="24"/>
          <w:szCs w:val="24"/>
          <w:lang w:val="es-ES" w:eastAsia="es-EC"/>
        </w:rPr>
        <w:t>NAC-DGERCGC17-00000451</w:t>
      </w:r>
      <w:bookmarkEnd w:id="0"/>
      <w:r w:rsidRPr="00D32AF0">
        <w:rPr>
          <w:rFonts w:ascii="Arial Narrow" w:eastAsia="Times New Roman" w:hAnsi="Arial Narrow" w:cs="Arial"/>
          <w:color w:val="76838F"/>
          <w:sz w:val="24"/>
          <w:szCs w:val="24"/>
          <w:lang w:val="es-ES" w:eastAsia="es-EC"/>
        </w:rPr>
        <w:t xml:space="preserve">: </w:t>
      </w:r>
      <w:proofErr w:type="spellStart"/>
      <w:r w:rsidRPr="00D32AF0">
        <w:rPr>
          <w:rFonts w:ascii="Arial Narrow" w:eastAsia="Times New Roman" w:hAnsi="Arial Narrow" w:cs="Arial"/>
          <w:color w:val="76838F"/>
          <w:sz w:val="24"/>
          <w:szCs w:val="24"/>
          <w:lang w:val="es-ES" w:eastAsia="es-EC"/>
        </w:rPr>
        <w:t>Expídense</w:t>
      </w:r>
      <w:proofErr w:type="spellEnd"/>
      <w:r w:rsidRPr="00D32AF0">
        <w:rPr>
          <w:rFonts w:ascii="Arial Narrow" w:eastAsia="Times New Roman" w:hAnsi="Arial Narrow" w:cs="Arial"/>
          <w:color w:val="76838F"/>
          <w:sz w:val="24"/>
          <w:szCs w:val="24"/>
          <w:lang w:val="es-ES" w:eastAsia="es-EC"/>
        </w:rPr>
        <w:t xml:space="preserve"> las normas para la liquidación de la deducción adicional por pago de remuneraciones y beneficios sociales a personas con discapacidad, sustitutos o a trabajadores que tengan cónyuge, pareja en unión de hecho o hijos con discapacidad dependientes suyos </w:t>
      </w:r>
    </w:p>
    <w:p w:rsidR="00D32AF0" w:rsidRDefault="00D32AF0" w:rsidP="00D32AF0">
      <w:pPr>
        <w:shd w:val="clear" w:color="auto" w:fill="FFFFFF"/>
        <w:spacing w:after="240" w:line="240" w:lineRule="auto"/>
        <w:jc w:val="both"/>
        <w:rPr>
          <w:rFonts w:ascii="Arial Narrow" w:eastAsia="Times New Roman" w:hAnsi="Arial Narrow" w:cs="Arial"/>
          <w:color w:val="76838F"/>
          <w:sz w:val="24"/>
          <w:szCs w:val="24"/>
          <w:lang w:val="es-ES" w:eastAsia="es-EC"/>
        </w:rPr>
      </w:pP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r>
      <w:bookmarkStart w:id="1" w:name="NAC-DGERCGC17-00000451(65s-17)"/>
      <w:bookmarkEnd w:id="1"/>
      <w:r w:rsidRPr="00D32AF0">
        <w:rPr>
          <w:rFonts w:ascii="Arial Narrow" w:eastAsia="Times New Roman" w:hAnsi="Arial Narrow" w:cs="Arial"/>
          <w:color w:val="76838F"/>
          <w:sz w:val="24"/>
          <w:szCs w:val="24"/>
          <w:lang w:val="es-ES" w:eastAsia="es-EC"/>
        </w:rPr>
        <w:t>No. NAC-DGERCGC17-00000451</w:t>
      </w:r>
    </w:p>
    <w:p w:rsidR="00D32AF0" w:rsidRPr="00D32AF0" w:rsidRDefault="00D32AF0" w:rsidP="00D32AF0">
      <w:pPr>
        <w:shd w:val="clear" w:color="auto" w:fill="FFFFFF"/>
        <w:spacing w:after="240" w:line="240" w:lineRule="auto"/>
        <w:jc w:val="both"/>
        <w:rPr>
          <w:rFonts w:ascii="Arial Narrow" w:eastAsia="Times New Roman" w:hAnsi="Arial Narrow" w:cs="Arial"/>
          <w:color w:val="76838F"/>
          <w:sz w:val="24"/>
          <w:szCs w:val="24"/>
          <w:lang w:val="es-ES" w:eastAsia="es-EC"/>
        </w:rPr>
      </w:pPr>
      <w:r w:rsidRPr="00D32AF0">
        <w:rPr>
          <w:rFonts w:ascii="Arial Narrow" w:eastAsia="Times New Roman" w:hAnsi="Arial Narrow" w:cs="Arial"/>
          <w:color w:val="76838F"/>
          <w:sz w:val="24"/>
          <w:szCs w:val="24"/>
          <w:lang w:val="es-ES" w:eastAsia="es-EC"/>
        </w:rPr>
        <w:br/>
        <w:t>EL DIRECTOR GENERAL DEL SERVICIO DE RENTAS INTERNAS</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 xml:space="preserve">Considerando: </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Que el quinto inciso del numeral 9 del artículo 10 de la Ley de Régimen Tributario Interno, establece que las deducciones que correspondan a remuneraciones y beneficios sociales sobre los que se aporte al Instituto Ecuatoriano de Seguridad Social, por pagos a discapacitados o a trabajadores que tengan cónyuge o hijos con discapacidad, dependientes suyos, se deducirán con el 150% adicional;</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Que numeral 10 del artículo 46 del Reglamento para la Aplicación de la Ley de Régimen Tributario Interno, dispone que la liquidación de este beneficio se realizará en el año fiscal siguiente a aquel en el que se incurra en dichos pagos, según la Resolución que para el efecto expida el Servicio de Rentas Internas;</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Que el artículo 49 de la Ley Orgánica de Discapacidades dispone que las o los empleadores podrán deducir el ciento cincuenta por ciento (150%) adicional para el cálculo de la base imponible del Impuesto a la Renta respecto de las remuneraciones y beneficios sociales sobre los que se aporten al Instituto Ecuatoriano de Seguridad Social de cada empleado contratado con discapacidad, sustitutos, de las y los trabajadores que tengan cónyuge, pareja en unión de hecho o hijo con discapacidad y que se encuentren bajo su cuidado, siempre que no hayan sido contratados para cumplir con la exigencia del personal mínimo con discapacidad, fijado en el 4%, de conformidad con esa Ley;</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Que el inciso segundo del artículo 8 del Reglamento a la Ley Orgánica de Discapacidades, respecto de la inclusión laboral, señala que sin perjuicio de las disposiciones de los Artículos 1 y 6 de este Reglamento, únicamente para efectos de lo dispuesto en este Artículo, podrán formar parte del porcentaje de inclusión laboral, quienes tengan una discapacidad igual o superior al treinta por ciento;</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 xml:space="preserve">Que el inciso cuarto del artículo 8 </w:t>
      </w:r>
      <w:r w:rsidRPr="00D32AF0">
        <w:rPr>
          <w:rFonts w:ascii="Arial Narrow" w:eastAsia="Times New Roman" w:hAnsi="Arial Narrow" w:cs="Arial"/>
          <w:i/>
          <w:iCs/>
          <w:color w:val="76838F"/>
          <w:sz w:val="24"/>
          <w:szCs w:val="24"/>
          <w:lang w:val="es-ES" w:eastAsia="es-EC"/>
        </w:rPr>
        <w:t xml:space="preserve">ibídem, </w:t>
      </w:r>
      <w:r w:rsidRPr="00D32AF0">
        <w:rPr>
          <w:rFonts w:ascii="Arial Narrow" w:eastAsia="Times New Roman" w:hAnsi="Arial Narrow" w:cs="Arial"/>
          <w:color w:val="76838F"/>
          <w:sz w:val="24"/>
          <w:szCs w:val="24"/>
          <w:lang w:val="es-ES" w:eastAsia="es-EC"/>
        </w:rPr>
        <w:t>establece que cuando el porcentaje de inclusión laboral de personas con discapacidad, resulte un número decimal, solo se considerará la parte entera del número;</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lastRenderedPageBreak/>
        <w:t xml:space="preserve">Que la Corte Constitucional del Ecuador, a través de Sentencia No. 017-17-SIN-CC aprobada por el Pleno de la Corte Constitucional el 07 de junio de 2017, declaró: </w:t>
      </w:r>
      <w:r w:rsidRPr="00D32AF0">
        <w:rPr>
          <w:rFonts w:ascii="Arial Narrow" w:eastAsia="Times New Roman" w:hAnsi="Arial Narrow" w:cs="Arial"/>
          <w:i/>
          <w:iCs/>
          <w:color w:val="76838F"/>
          <w:sz w:val="24"/>
          <w:szCs w:val="24"/>
          <w:lang w:val="es-ES" w:eastAsia="es-EC"/>
        </w:rPr>
        <w:t xml:space="preserve">"a) En la parte final del texto del </w:t>
      </w:r>
      <w:proofErr w:type="spellStart"/>
      <w:r w:rsidRPr="00D32AF0">
        <w:rPr>
          <w:rFonts w:ascii="Arial Narrow" w:eastAsia="Times New Roman" w:hAnsi="Arial Narrow" w:cs="Arial"/>
          <w:i/>
          <w:iCs/>
          <w:color w:val="76838F"/>
          <w:sz w:val="24"/>
          <w:szCs w:val="24"/>
          <w:lang w:val="es-ES" w:eastAsia="es-EC"/>
        </w:rPr>
        <w:t>articulo</w:t>
      </w:r>
      <w:proofErr w:type="spellEnd"/>
      <w:r w:rsidRPr="00D32AF0">
        <w:rPr>
          <w:rFonts w:ascii="Arial Narrow" w:eastAsia="Times New Roman" w:hAnsi="Arial Narrow" w:cs="Arial"/>
          <w:i/>
          <w:iCs/>
          <w:color w:val="76838F"/>
          <w:sz w:val="24"/>
          <w:szCs w:val="24"/>
          <w:lang w:val="es-ES" w:eastAsia="es-EC"/>
        </w:rPr>
        <w:t xml:space="preserve"> 1 del Reglamento a la Ley Orgánica de Discapacidades, la inconstitucionalidad de la frase "cuarenta por ciento ", sustituyéndola por la frase "treinta por ciento </w:t>
      </w:r>
      <w:r w:rsidRPr="00D32AF0">
        <w:rPr>
          <w:rFonts w:ascii="Arial Narrow" w:eastAsia="Times New Roman" w:hAnsi="Arial Narrow" w:cs="Arial"/>
          <w:color w:val="76838F"/>
          <w:sz w:val="24"/>
          <w:szCs w:val="24"/>
          <w:lang w:val="es-ES" w:eastAsia="es-EC"/>
        </w:rPr>
        <w:t>";</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Que de acuerdo a lo establecido en el artículo 7 del Código Tributario, en concordancia con el artículo 8 de la Ley de Creación del Servicio de Rentas Internas, es facultad del Director General del Servicio de Rentas Internas expedir las resoluciones, circulares o disposiciones de carácter general y obligatorio necesarias para la aplicación de las normas legales y reglamentarias; y,</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Que es deber de la Administración Tributaria a través del Director General del Servicio de Rentas Internas expedir las normas necesarias para facilitar a los contribuyentes el cumplimiento de sus obligaciones tributarias y deberes formales, de conformidad con la ley.</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En uso de sus facultades legales,</w:t>
      </w:r>
    </w:p>
    <w:p w:rsidR="00D32AF0" w:rsidRPr="00D32AF0" w:rsidRDefault="00D32AF0" w:rsidP="00D32AF0">
      <w:pPr>
        <w:shd w:val="clear" w:color="auto" w:fill="FFFFFF"/>
        <w:spacing w:after="0" w:line="240" w:lineRule="auto"/>
        <w:jc w:val="both"/>
        <w:rPr>
          <w:rFonts w:ascii="Arial Narrow" w:eastAsia="Times New Roman" w:hAnsi="Arial Narrow" w:cs="Arial"/>
          <w:color w:val="76838F"/>
          <w:sz w:val="24"/>
          <w:szCs w:val="24"/>
          <w:lang w:val="es-ES" w:eastAsia="es-EC"/>
        </w:rPr>
      </w:pPr>
      <w:r w:rsidRPr="00D32AF0">
        <w:rPr>
          <w:rFonts w:ascii="Arial Narrow" w:eastAsia="Times New Roman" w:hAnsi="Arial Narrow" w:cs="Arial"/>
          <w:color w:val="76838F"/>
          <w:sz w:val="24"/>
          <w:szCs w:val="24"/>
          <w:lang w:val="es-ES" w:eastAsia="es-EC"/>
        </w:rPr>
        <w:t xml:space="preserve">Resuelve: </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Expedir las normas para la liquidación de la deducción adicional por pago de remuneraciones y beneficios sociales a personas con discapacidad, sustitutos o a trabajadores que tengan cónyuge, pareja en unión de hecho o hijos con discapacidad dependientes suyos</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Artículo 1.- Forma de cálculo.- La deducción del 150% adicional por pago de remuneraciones y beneficios sociales a personas con discapacidad, sustitutos, o a trabajadores que tengan cónyuge, pareja en unión de hecho o hijos con discapacidad dependientes suyos, se calculará conforme a la siguiente fórmula:</w:t>
      </w:r>
    </w:p>
    <w:p w:rsidR="00D32AF0" w:rsidRPr="00D32AF0" w:rsidRDefault="00D32AF0" w:rsidP="00D32AF0">
      <w:pPr>
        <w:shd w:val="clear" w:color="auto" w:fill="FFFFFF"/>
        <w:spacing w:after="0" w:line="240" w:lineRule="auto"/>
        <w:jc w:val="both"/>
        <w:rPr>
          <w:rFonts w:ascii="Arial Narrow" w:eastAsia="Times New Roman" w:hAnsi="Arial Narrow" w:cs="Arial"/>
          <w:color w:val="76838F"/>
          <w:sz w:val="24"/>
          <w:szCs w:val="24"/>
          <w:lang w:val="es-ES" w:eastAsia="es-EC"/>
        </w:rPr>
      </w:pPr>
      <w:r w:rsidRPr="00D32AF0">
        <w:rPr>
          <w:rFonts w:ascii="Arial Narrow" w:eastAsia="Times New Roman" w:hAnsi="Arial Narrow" w:cs="Arial"/>
          <w:noProof/>
          <w:color w:val="76838F"/>
          <w:sz w:val="24"/>
          <w:szCs w:val="24"/>
          <w:lang w:eastAsia="es-EC"/>
        </w:rPr>
        <w:drawing>
          <wp:inline distT="0" distB="0" distL="0" distR="0" wp14:anchorId="274F26F9" wp14:editId="2296F779">
            <wp:extent cx="5892800" cy="1733550"/>
            <wp:effectExtent l="0" t="0" r="0" b="0"/>
            <wp:docPr id="1" name="Imagen 1" descr="https://www.fielweb.com/App_Themes/Infobases/ImagenesGeneral/img28082017171325_16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fielweb.com/App_Themes/Infobases/ImagenesGeneral/img28082017171325_1623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92800" cy="1733550"/>
                    </a:xfrm>
                    <a:prstGeom prst="rect">
                      <a:avLst/>
                    </a:prstGeom>
                    <a:noFill/>
                    <a:ln>
                      <a:noFill/>
                    </a:ln>
                  </pic:spPr>
                </pic:pic>
              </a:graphicData>
            </a:graphic>
          </wp:inline>
        </w:drawing>
      </w:r>
    </w:p>
    <w:p w:rsidR="00D32AF0" w:rsidRPr="00D32AF0" w:rsidRDefault="00D32AF0" w:rsidP="00D32AF0">
      <w:pPr>
        <w:shd w:val="clear" w:color="auto" w:fill="FFFFFF"/>
        <w:spacing w:after="0" w:line="240" w:lineRule="auto"/>
        <w:jc w:val="both"/>
        <w:rPr>
          <w:rFonts w:ascii="Arial Narrow" w:eastAsia="Times New Roman" w:hAnsi="Arial Narrow" w:cs="Arial"/>
          <w:color w:val="76838F"/>
          <w:sz w:val="24"/>
          <w:szCs w:val="24"/>
          <w:lang w:val="es-ES" w:eastAsia="es-EC"/>
        </w:rPr>
      </w:pPr>
      <w:r w:rsidRPr="00D32AF0">
        <w:rPr>
          <w:rFonts w:ascii="Arial Narrow" w:eastAsia="Times New Roman" w:hAnsi="Arial Narrow" w:cs="Arial"/>
          <w:color w:val="76838F"/>
          <w:sz w:val="24"/>
          <w:szCs w:val="24"/>
          <w:lang w:val="es-ES" w:eastAsia="es-EC"/>
        </w:rPr>
        <w:br/>
        <w:t>Dentro de los valores pagados, se deberá considerar los rubros que se encuentren aportados al Instituto Ecuatoriano de Seguridad Social hasta la fecha de presentación de la declaración de Impuesto a la Renta, así como también la decimotercera y decimocuarta remuneración, el fondo de reserva y el aporte patronal, en cuyos casos el monto a considerar será el valor proporcional mensual; y en todos los casos, exclusivamente respecto de aquellos meses en que se cumplieron las condiciones para su aplicación, de conformidad con la ley, siendo la deducción adicional anual aquella que surge de la sumatoria de los valores calculados por deducción adicional en cada mes, de conformidad con la fórmula antes mencionada.</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Este beneficio aplicará únicamente para aquellos meses en los que el número de trabajadores con discapacidad o sustitutos exceda el mínimo legal obligatorio y se cumpla con las demás condiciones legales establecidas para el efecto.</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 xml:space="preserve">Artículo 2.- Deducción Adicional.- Para efectos de la aplicación de la deducción adicional a la que </w:t>
      </w:r>
      <w:r w:rsidRPr="00D32AF0">
        <w:rPr>
          <w:rFonts w:ascii="Arial Narrow" w:eastAsia="Times New Roman" w:hAnsi="Arial Narrow" w:cs="Arial"/>
          <w:color w:val="76838F"/>
          <w:sz w:val="24"/>
          <w:szCs w:val="24"/>
          <w:lang w:val="es-ES" w:eastAsia="es-EC"/>
        </w:rPr>
        <w:lastRenderedPageBreak/>
        <w:t>se refiere la presente Resolución, se deberán considerar únicamente a aquellas personas que tengan un grado de discapacidad igual o mayor al treinta por ciento (30%).</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Para el caso de sustitutos, se considerará aquellos trabajadores calificados como tal por la autoridad nacional encargada de la inclusión económica y social.</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Así mismo, para establecer el número de trabajadores sobre quienes aplica el incentivo de la deducción adicional, se considerará la totalidad trabajadores con discapacidad, sustitutos y trabajadores que tengan cónyuge, pareja en unión de hecho o hijos con discapacidad dependientes suyos, con quienes se exceda el porcentaje mínimo obligatorio de inclusión laboral. En los casos</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en los que dicho porcentaje contenga un número decimal, la parte decimal se considerará como una unidad, a efectos de la deducción adicional.</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DISPOSICIÓN FINAL.- La presente Resolución entrará en vigencia a partir de su publicación en el Registro Oficial.</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Comuníquese y publíquese.</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Dado en Quito, D. M., a 18 de agosto de 2017.</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Dictó y firmó la Resolución que antecede el Economista Leonardo Orlando Arteaga, Director General del Servicio de Rentas Internas, en Quito D. M., a 18 de agosto de 2017.</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Lo certifico.</w:t>
      </w:r>
      <w:r w:rsidRPr="00D32AF0">
        <w:rPr>
          <w:rFonts w:ascii="Arial Narrow" w:eastAsia="Times New Roman" w:hAnsi="Arial Narrow" w:cs="Arial"/>
          <w:color w:val="76838F"/>
          <w:sz w:val="24"/>
          <w:szCs w:val="24"/>
          <w:lang w:val="es-ES" w:eastAsia="es-EC"/>
        </w:rPr>
        <w:br/>
      </w:r>
      <w:r w:rsidRPr="00D32AF0">
        <w:rPr>
          <w:rFonts w:ascii="Arial Narrow" w:eastAsia="Times New Roman" w:hAnsi="Arial Narrow" w:cs="Arial"/>
          <w:color w:val="76838F"/>
          <w:sz w:val="24"/>
          <w:szCs w:val="24"/>
          <w:lang w:val="es-ES" w:eastAsia="es-EC"/>
        </w:rPr>
        <w:br/>
        <w:t>f.) Dra. Alba Molina R, Secretaria General, Servicio de Rentas Internas.</w:t>
      </w:r>
    </w:p>
    <w:p w:rsidR="00D32AF0" w:rsidRPr="00D32AF0" w:rsidRDefault="00D32AF0" w:rsidP="00D32AF0">
      <w:pPr>
        <w:shd w:val="clear" w:color="auto" w:fill="FFFFFF"/>
        <w:spacing w:after="0" w:line="240" w:lineRule="auto"/>
        <w:jc w:val="both"/>
        <w:rPr>
          <w:rFonts w:ascii="Arial Narrow" w:eastAsia="Times New Roman" w:hAnsi="Arial Narrow" w:cs="Arial"/>
          <w:color w:val="76838F"/>
          <w:sz w:val="24"/>
          <w:szCs w:val="24"/>
          <w:lang w:val="es-ES" w:eastAsia="es-EC"/>
        </w:rPr>
      </w:pPr>
    </w:p>
    <w:p w:rsidR="008E49C1" w:rsidRPr="00D32AF0" w:rsidRDefault="00D32AF0" w:rsidP="00D32AF0">
      <w:pPr>
        <w:jc w:val="both"/>
        <w:rPr>
          <w:rFonts w:ascii="Arial Narrow" w:hAnsi="Arial Narrow"/>
          <w:sz w:val="24"/>
          <w:szCs w:val="24"/>
        </w:rPr>
      </w:pPr>
    </w:p>
    <w:sectPr w:rsidR="008E49C1" w:rsidRPr="00D32AF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AF0"/>
    <w:rsid w:val="00323ADC"/>
    <w:rsid w:val="0064604D"/>
    <w:rsid w:val="00D32AF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32A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2A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32A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2A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387774">
      <w:bodyDiv w:val="1"/>
      <w:marLeft w:val="0"/>
      <w:marRight w:val="0"/>
      <w:marTop w:val="0"/>
      <w:marBottom w:val="0"/>
      <w:divBdr>
        <w:top w:val="none" w:sz="0" w:space="0" w:color="auto"/>
        <w:left w:val="none" w:sz="0" w:space="0" w:color="auto"/>
        <w:bottom w:val="none" w:sz="0" w:space="0" w:color="auto"/>
        <w:right w:val="none" w:sz="0" w:space="0" w:color="auto"/>
      </w:divBdr>
      <w:divsChild>
        <w:div w:id="1940530130">
          <w:marLeft w:val="0"/>
          <w:marRight w:val="0"/>
          <w:marTop w:val="0"/>
          <w:marBottom w:val="0"/>
          <w:divBdr>
            <w:top w:val="none" w:sz="0" w:space="0" w:color="auto"/>
            <w:left w:val="none" w:sz="0" w:space="0" w:color="auto"/>
            <w:bottom w:val="none" w:sz="0" w:space="0" w:color="auto"/>
            <w:right w:val="none" w:sz="0" w:space="0" w:color="auto"/>
          </w:divBdr>
          <w:divsChild>
            <w:div w:id="1482306573">
              <w:marLeft w:val="0"/>
              <w:marRight w:val="0"/>
              <w:marTop w:val="0"/>
              <w:marBottom w:val="0"/>
              <w:divBdr>
                <w:top w:val="none" w:sz="0" w:space="0" w:color="auto"/>
                <w:left w:val="none" w:sz="0" w:space="0" w:color="auto"/>
                <w:bottom w:val="none" w:sz="0" w:space="0" w:color="auto"/>
                <w:right w:val="none" w:sz="0" w:space="0" w:color="auto"/>
              </w:divBdr>
              <w:divsChild>
                <w:div w:id="279189821">
                  <w:marLeft w:val="-225"/>
                  <w:marRight w:val="-225"/>
                  <w:marTop w:val="0"/>
                  <w:marBottom w:val="0"/>
                  <w:divBdr>
                    <w:top w:val="none" w:sz="0" w:space="0" w:color="auto"/>
                    <w:left w:val="none" w:sz="0" w:space="0" w:color="auto"/>
                    <w:bottom w:val="none" w:sz="0" w:space="0" w:color="auto"/>
                    <w:right w:val="none" w:sz="0" w:space="0" w:color="auto"/>
                  </w:divBdr>
                  <w:divsChild>
                    <w:div w:id="1974170843">
                      <w:marLeft w:val="0"/>
                      <w:marRight w:val="0"/>
                      <w:marTop w:val="0"/>
                      <w:marBottom w:val="0"/>
                      <w:divBdr>
                        <w:top w:val="none" w:sz="0" w:space="0" w:color="auto"/>
                        <w:left w:val="none" w:sz="0" w:space="0" w:color="auto"/>
                        <w:bottom w:val="none" w:sz="0" w:space="0" w:color="auto"/>
                        <w:right w:val="none" w:sz="0" w:space="0" w:color="auto"/>
                      </w:divBdr>
                      <w:divsChild>
                        <w:div w:id="1497112084">
                          <w:marLeft w:val="0"/>
                          <w:marRight w:val="0"/>
                          <w:marTop w:val="0"/>
                          <w:marBottom w:val="0"/>
                          <w:divBdr>
                            <w:top w:val="none" w:sz="0" w:space="0" w:color="auto"/>
                            <w:left w:val="none" w:sz="0" w:space="0" w:color="auto"/>
                            <w:bottom w:val="none" w:sz="0" w:space="0" w:color="auto"/>
                            <w:right w:val="none" w:sz="0" w:space="0" w:color="auto"/>
                          </w:divBdr>
                          <w:divsChild>
                            <w:div w:id="231282412">
                              <w:marLeft w:val="0"/>
                              <w:marRight w:val="0"/>
                              <w:marTop w:val="0"/>
                              <w:marBottom w:val="0"/>
                              <w:divBdr>
                                <w:top w:val="none" w:sz="0" w:space="0" w:color="auto"/>
                                <w:left w:val="none" w:sz="0" w:space="0" w:color="auto"/>
                                <w:bottom w:val="none" w:sz="0" w:space="0" w:color="auto"/>
                                <w:right w:val="none" w:sz="0" w:space="0" w:color="auto"/>
                              </w:divBdr>
                              <w:divsChild>
                                <w:div w:id="1259413406">
                                  <w:marLeft w:val="0"/>
                                  <w:marRight w:val="0"/>
                                  <w:marTop w:val="0"/>
                                  <w:marBottom w:val="0"/>
                                  <w:divBdr>
                                    <w:top w:val="none" w:sz="0" w:space="0" w:color="auto"/>
                                    <w:left w:val="none" w:sz="0" w:space="0" w:color="auto"/>
                                    <w:bottom w:val="none" w:sz="0" w:space="0" w:color="auto"/>
                                    <w:right w:val="none" w:sz="0" w:space="0" w:color="auto"/>
                                  </w:divBdr>
                                  <w:divsChild>
                                    <w:div w:id="567501102">
                                      <w:marLeft w:val="0"/>
                                      <w:marRight w:val="0"/>
                                      <w:marTop w:val="0"/>
                                      <w:marBottom w:val="0"/>
                                      <w:divBdr>
                                        <w:top w:val="none" w:sz="0" w:space="0" w:color="auto"/>
                                        <w:left w:val="none" w:sz="0" w:space="0" w:color="auto"/>
                                        <w:bottom w:val="none" w:sz="0" w:space="0" w:color="auto"/>
                                        <w:right w:val="none" w:sz="0" w:space="0" w:color="auto"/>
                                      </w:divBdr>
                                      <w:divsChild>
                                        <w:div w:id="1160805372">
                                          <w:marLeft w:val="0"/>
                                          <w:marRight w:val="0"/>
                                          <w:marTop w:val="0"/>
                                          <w:marBottom w:val="0"/>
                                          <w:divBdr>
                                            <w:top w:val="none" w:sz="0" w:space="0" w:color="auto"/>
                                            <w:left w:val="none" w:sz="0" w:space="0" w:color="auto"/>
                                            <w:bottom w:val="none" w:sz="0" w:space="0" w:color="auto"/>
                                            <w:right w:val="none" w:sz="0" w:space="0" w:color="auto"/>
                                          </w:divBdr>
                                          <w:divsChild>
                                            <w:div w:id="1603953279">
                                              <w:marLeft w:val="0"/>
                                              <w:marRight w:val="0"/>
                                              <w:marTop w:val="0"/>
                                              <w:marBottom w:val="0"/>
                                              <w:divBdr>
                                                <w:top w:val="none" w:sz="0" w:space="0" w:color="auto"/>
                                                <w:left w:val="none" w:sz="0" w:space="0" w:color="auto"/>
                                                <w:bottom w:val="none" w:sz="0" w:space="0" w:color="auto"/>
                                                <w:right w:val="none" w:sz="0" w:space="0" w:color="auto"/>
                                              </w:divBdr>
                                              <w:divsChild>
                                                <w:div w:id="1853258383">
                                                  <w:marLeft w:val="0"/>
                                                  <w:marRight w:val="0"/>
                                                  <w:marTop w:val="0"/>
                                                  <w:marBottom w:val="0"/>
                                                  <w:divBdr>
                                                    <w:top w:val="none" w:sz="0" w:space="0" w:color="auto"/>
                                                    <w:left w:val="none" w:sz="0" w:space="0" w:color="auto"/>
                                                    <w:bottom w:val="none" w:sz="0" w:space="0" w:color="auto"/>
                                                    <w:right w:val="none" w:sz="0" w:space="0" w:color="auto"/>
                                                  </w:divBdr>
                                                  <w:divsChild>
                                                    <w:div w:id="1794014700">
                                                      <w:marLeft w:val="0"/>
                                                      <w:marRight w:val="0"/>
                                                      <w:marTop w:val="0"/>
                                                      <w:marBottom w:val="0"/>
                                                      <w:divBdr>
                                                        <w:top w:val="none" w:sz="0" w:space="0" w:color="auto"/>
                                                        <w:left w:val="none" w:sz="0" w:space="0" w:color="auto"/>
                                                        <w:bottom w:val="none" w:sz="0" w:space="0" w:color="auto"/>
                                                        <w:right w:val="none" w:sz="0" w:space="0" w:color="auto"/>
                                                      </w:divBdr>
                                                      <w:divsChild>
                                                        <w:div w:id="74867438">
                                                          <w:marLeft w:val="0"/>
                                                          <w:marRight w:val="0"/>
                                                          <w:marTop w:val="0"/>
                                                          <w:marBottom w:val="0"/>
                                                          <w:divBdr>
                                                            <w:top w:val="none" w:sz="0" w:space="0" w:color="auto"/>
                                                            <w:left w:val="none" w:sz="0" w:space="0" w:color="auto"/>
                                                            <w:bottom w:val="none" w:sz="0" w:space="0" w:color="auto"/>
                                                            <w:right w:val="none" w:sz="0" w:space="0" w:color="auto"/>
                                                          </w:divBdr>
                                                          <w:divsChild>
                                                            <w:div w:id="1598900446">
                                                              <w:marLeft w:val="0"/>
                                                              <w:marRight w:val="0"/>
                                                              <w:marTop w:val="0"/>
                                                              <w:marBottom w:val="0"/>
                                                              <w:divBdr>
                                                                <w:top w:val="none" w:sz="0" w:space="0" w:color="auto"/>
                                                                <w:left w:val="none" w:sz="0" w:space="0" w:color="auto"/>
                                                                <w:bottom w:val="none" w:sz="0" w:space="0" w:color="auto"/>
                                                                <w:right w:val="none" w:sz="0" w:space="0" w:color="auto"/>
                                                              </w:divBdr>
                                                              <w:divsChild>
                                                                <w:div w:id="2064716273">
                                                                  <w:marLeft w:val="0"/>
                                                                  <w:marRight w:val="0"/>
                                                                  <w:marTop w:val="0"/>
                                                                  <w:marBottom w:val="0"/>
                                                                  <w:divBdr>
                                                                    <w:top w:val="none" w:sz="0" w:space="0" w:color="auto"/>
                                                                    <w:left w:val="none" w:sz="0" w:space="0" w:color="auto"/>
                                                                    <w:bottom w:val="none" w:sz="0" w:space="0" w:color="auto"/>
                                                                    <w:right w:val="none" w:sz="0" w:space="0" w:color="auto"/>
                                                                  </w:divBdr>
                                                                  <w:divsChild>
                                                                    <w:div w:id="1383600826">
                                                                      <w:marLeft w:val="-225"/>
                                                                      <w:marRight w:val="-225"/>
                                                                      <w:marTop w:val="0"/>
                                                                      <w:marBottom w:val="0"/>
                                                                      <w:divBdr>
                                                                        <w:top w:val="none" w:sz="0" w:space="0" w:color="auto"/>
                                                                        <w:left w:val="none" w:sz="0" w:space="0" w:color="auto"/>
                                                                        <w:bottom w:val="none" w:sz="0" w:space="0" w:color="auto"/>
                                                                        <w:right w:val="none" w:sz="0" w:space="0" w:color="auto"/>
                                                                      </w:divBdr>
                                                                      <w:divsChild>
                                                                        <w:div w:id="798256398">
                                                                          <w:marLeft w:val="0"/>
                                                                          <w:marRight w:val="0"/>
                                                                          <w:marTop w:val="0"/>
                                                                          <w:marBottom w:val="0"/>
                                                                          <w:divBdr>
                                                                            <w:top w:val="none" w:sz="0" w:space="0" w:color="auto"/>
                                                                            <w:left w:val="none" w:sz="0" w:space="0" w:color="auto"/>
                                                                            <w:bottom w:val="none" w:sz="0" w:space="0" w:color="auto"/>
                                                                            <w:right w:val="none" w:sz="0" w:space="0" w:color="auto"/>
                                                                          </w:divBdr>
                                                                          <w:divsChild>
                                                                            <w:div w:id="106856044">
                                                                              <w:marLeft w:val="0"/>
                                                                              <w:marRight w:val="0"/>
                                                                              <w:marTop w:val="0"/>
                                                                              <w:marBottom w:val="0"/>
                                                                              <w:divBdr>
                                                                                <w:top w:val="none" w:sz="0" w:space="0" w:color="auto"/>
                                                                                <w:left w:val="none" w:sz="0" w:space="0" w:color="auto"/>
                                                                                <w:bottom w:val="none" w:sz="0" w:space="0" w:color="auto"/>
                                                                                <w:right w:val="none" w:sz="0" w:space="0" w:color="auto"/>
                                                                              </w:divBdr>
                                                                              <w:divsChild>
                                                                                <w:div w:id="1144465713">
                                                                                  <w:marLeft w:val="0"/>
                                                                                  <w:marRight w:val="0"/>
                                                                                  <w:marTop w:val="0"/>
                                                                                  <w:marBottom w:val="0"/>
                                                                                  <w:divBdr>
                                                                                    <w:top w:val="single" w:sz="6" w:space="0" w:color="FFFFFF"/>
                                                                                    <w:left w:val="single" w:sz="6" w:space="0" w:color="FFFFFF"/>
                                                                                    <w:bottom w:val="single" w:sz="6" w:space="0" w:color="FFFFFF"/>
                                                                                    <w:right w:val="single" w:sz="6" w:space="0" w:color="FFFFFF"/>
                                                                                  </w:divBdr>
                                                                                </w:div>
                                                                                <w:div w:id="1486974253">
                                                                                  <w:marLeft w:val="0"/>
                                                                                  <w:marRight w:val="0"/>
                                                                                  <w:marTop w:val="0"/>
                                                                                  <w:marBottom w:val="0"/>
                                                                                  <w:divBdr>
                                                                                    <w:top w:val="single" w:sz="6" w:space="0" w:color="FFFFFF"/>
                                                                                    <w:left w:val="single" w:sz="6" w:space="0" w:color="FFFFFF"/>
                                                                                    <w:bottom w:val="single" w:sz="6" w:space="0" w:color="FFFFFF"/>
                                                                                    <w:right w:val="single" w:sz="6" w:space="0" w:color="FFFFFF"/>
                                                                                  </w:divBdr>
                                                                                </w:div>
                                                                                <w:div w:id="1144854413">
                                                                                  <w:marLeft w:val="0"/>
                                                                                  <w:marRight w:val="0"/>
                                                                                  <w:marTop w:val="0"/>
                                                                                  <w:marBottom w:val="0"/>
                                                                                  <w:divBdr>
                                                                                    <w:top w:val="single" w:sz="6" w:space="0" w:color="FFFFFF"/>
                                                                                    <w:left w:val="single" w:sz="6" w:space="0" w:color="FFFFFF"/>
                                                                                    <w:bottom w:val="single" w:sz="6" w:space="0" w:color="FFFFFF"/>
                                                                                    <w:right w:val="single" w:sz="6" w:space="0" w:color="FFFFFF"/>
                                                                                  </w:divBdr>
                                                                                  <w:divsChild>
                                                                                    <w:div w:id="2110154307">
                                                                                      <w:marLeft w:val="0"/>
                                                                                      <w:marRight w:val="0"/>
                                                                                      <w:marTop w:val="0"/>
                                                                                      <w:marBottom w:val="0"/>
                                                                                      <w:divBdr>
                                                                                        <w:top w:val="single" w:sz="6" w:space="0" w:color="FFFFFF"/>
                                                                                        <w:left w:val="single" w:sz="6" w:space="0" w:color="FFFFFF"/>
                                                                                        <w:bottom w:val="single" w:sz="6" w:space="0" w:color="FFFFFF"/>
                                                                                        <w:right w:val="single" w:sz="6" w:space="0" w:color="FFFFFF"/>
                                                                                      </w:divBdr>
                                                                                    </w:div>
                                                                                    <w:div w:id="833762573">
                                                                                      <w:marLeft w:val="0"/>
                                                                                      <w:marRight w:val="0"/>
                                                                                      <w:marTop w:val="0"/>
                                                                                      <w:marBottom w:val="0"/>
                                                                                      <w:divBdr>
                                                                                        <w:top w:val="single" w:sz="6" w:space="0" w:color="FFFFFF"/>
                                                                                        <w:left w:val="single" w:sz="6" w:space="0" w:color="FFFFFF"/>
                                                                                        <w:bottom w:val="single" w:sz="6" w:space="0" w:color="FFFFFF"/>
                                                                                        <w:right w:val="single" w:sz="6" w:space="0" w:color="FFFFFF"/>
                                                                                      </w:divBdr>
                                                                                      <w:divsChild>
                                                                                        <w:div w:id="1230654093">
                                                                                          <w:marLeft w:val="0"/>
                                                                                          <w:marRight w:val="0"/>
                                                                                          <w:marTop w:val="0"/>
                                                                                          <w:marBottom w:val="0"/>
                                                                                          <w:divBdr>
                                                                                            <w:top w:val="none" w:sz="0" w:space="0" w:color="auto"/>
                                                                                            <w:left w:val="none" w:sz="0" w:space="0" w:color="auto"/>
                                                                                            <w:bottom w:val="none" w:sz="0" w:space="0" w:color="auto"/>
                                                                                            <w:right w:val="none" w:sz="0" w:space="0" w:color="auto"/>
                                                                                          </w:divBdr>
                                                                                        </w:div>
                                                                                      </w:divsChild>
                                                                                    </w:div>
                                                                                    <w:div w:id="1166673131">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1035</Words>
  <Characters>5696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2017-08-30T20:14:00Z</dcterms:created>
  <dcterms:modified xsi:type="dcterms:W3CDTF">2017-08-30T20:18:00Z</dcterms:modified>
</cp:coreProperties>
</file>